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C96492" w:rsidRDefault="00CD36CF" w:rsidP="00EF6030">
      <w:pPr>
        <w:pStyle w:val="TitlePageOrigin"/>
      </w:pPr>
      <w:r w:rsidRPr="00C96492">
        <w:t>WEST virginia legislature</w:t>
      </w:r>
    </w:p>
    <w:p w14:paraId="60EFD78C" w14:textId="7385C93C" w:rsidR="00CD36CF" w:rsidRPr="00C96492" w:rsidRDefault="00CD36CF" w:rsidP="00EF6030">
      <w:pPr>
        <w:pStyle w:val="TitlePageSession"/>
      </w:pPr>
      <w:r w:rsidRPr="00C96492">
        <w:t>20</w:t>
      </w:r>
      <w:r w:rsidR="006565E8" w:rsidRPr="00C96492">
        <w:t>2</w:t>
      </w:r>
      <w:r w:rsidR="00F50749" w:rsidRPr="00C96492">
        <w:t>2</w:t>
      </w:r>
      <w:r w:rsidRPr="00C96492">
        <w:t xml:space="preserve"> regular session</w:t>
      </w:r>
    </w:p>
    <w:p w14:paraId="6E86046C" w14:textId="026DBC01" w:rsidR="003921BF" w:rsidRPr="00C96492" w:rsidRDefault="003921BF" w:rsidP="00EF6030">
      <w:pPr>
        <w:pStyle w:val="TitlePageSession"/>
      </w:pPr>
      <w:r w:rsidRPr="00C96492">
        <w:t>E</w:t>
      </w:r>
      <w:r w:rsidR="00D3015C" w:rsidRPr="00C96492">
        <w:t>NROLLED</w:t>
      </w:r>
    </w:p>
    <w:p w14:paraId="6C2CFCE2" w14:textId="77777777" w:rsidR="00CD36CF" w:rsidRPr="00C96492" w:rsidRDefault="00065D71" w:rsidP="00EF6030">
      <w:pPr>
        <w:pStyle w:val="TitlePageBillPrefix"/>
      </w:pPr>
      <w:sdt>
        <w:sdtPr>
          <w:tag w:val="IntroDate"/>
          <w:id w:val="-1236936958"/>
          <w:placeholder>
            <w:docPart w:val="3316B43A5363490983AF1F72635E475E"/>
          </w:placeholder>
          <w:text/>
        </w:sdtPr>
        <w:sdtEndPr/>
        <w:sdtContent>
          <w:r w:rsidR="00AC3B58" w:rsidRPr="00C96492">
            <w:t>Committee Substitute</w:t>
          </w:r>
        </w:sdtContent>
      </w:sdt>
    </w:p>
    <w:p w14:paraId="14EE60F1" w14:textId="77777777" w:rsidR="00AC3B58" w:rsidRPr="00C96492" w:rsidRDefault="00AC3B58" w:rsidP="00EF6030">
      <w:pPr>
        <w:pStyle w:val="TitlePageBillPrefix"/>
      </w:pPr>
      <w:r w:rsidRPr="00C96492">
        <w:t>for</w:t>
      </w:r>
    </w:p>
    <w:p w14:paraId="1809B453" w14:textId="798346AD" w:rsidR="00CD36CF" w:rsidRPr="00C96492" w:rsidRDefault="00065D71"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E1289" w:rsidRPr="00C96492">
            <w:t>Senate</w:t>
          </w:r>
        </w:sdtContent>
      </w:sdt>
      <w:r w:rsidR="00303684" w:rsidRPr="00C96492">
        <w:t xml:space="preserve"> </w:t>
      </w:r>
      <w:r w:rsidR="00CD36CF" w:rsidRPr="00C96492">
        <w:t xml:space="preserve">Bill </w:t>
      </w:r>
      <w:sdt>
        <w:sdtPr>
          <w:tag w:val="BNum"/>
          <w:id w:val="1645317809"/>
          <w:lock w:val="sdtLocked"/>
          <w:placeholder>
            <w:docPart w:val="31DC770E9F534C1F9CDB2A76911FE768"/>
          </w:placeholder>
          <w:text/>
        </w:sdtPr>
        <w:sdtEndPr/>
        <w:sdtContent>
          <w:r w:rsidR="007E1289" w:rsidRPr="00C96492">
            <w:t>6</w:t>
          </w:r>
        </w:sdtContent>
      </w:sdt>
    </w:p>
    <w:p w14:paraId="48EAA6E3" w14:textId="77777777" w:rsidR="007E1289" w:rsidRPr="00C96492" w:rsidRDefault="007E1289" w:rsidP="00EF6030">
      <w:pPr>
        <w:pStyle w:val="References"/>
        <w:rPr>
          <w:smallCaps/>
        </w:rPr>
      </w:pPr>
      <w:r w:rsidRPr="00C96492">
        <w:rPr>
          <w:smallCaps/>
        </w:rPr>
        <w:t xml:space="preserve">By Senators Trump, Nelson, </w:t>
      </w:r>
      <w:proofErr w:type="spellStart"/>
      <w:r w:rsidRPr="00C96492">
        <w:rPr>
          <w:smallCaps/>
        </w:rPr>
        <w:t>Takubo</w:t>
      </w:r>
      <w:proofErr w:type="spellEnd"/>
      <w:r w:rsidRPr="00C96492">
        <w:rPr>
          <w:smallCaps/>
        </w:rPr>
        <w:t xml:space="preserve">, and </w:t>
      </w:r>
      <w:proofErr w:type="spellStart"/>
      <w:r w:rsidRPr="00C96492">
        <w:rPr>
          <w:smallCaps/>
        </w:rPr>
        <w:t>Azinger</w:t>
      </w:r>
      <w:proofErr w:type="spellEnd"/>
    </w:p>
    <w:p w14:paraId="0875E990" w14:textId="0142DDD3" w:rsidR="007E1289" w:rsidRDefault="00CD36CF" w:rsidP="00EF6030">
      <w:pPr>
        <w:pStyle w:val="References"/>
      </w:pPr>
      <w:r w:rsidRPr="00C96492">
        <w:t>[</w:t>
      </w:r>
      <w:r w:rsidR="00D3015C" w:rsidRPr="00C96492">
        <w:t>Passed</w:t>
      </w:r>
      <w:r w:rsidR="002648C1">
        <w:t xml:space="preserve"> March 12, 2022; in effect 90 days from passage</w:t>
      </w:r>
      <w:r w:rsidRPr="00C96492">
        <w:t>]</w:t>
      </w:r>
    </w:p>
    <w:p w14:paraId="7D449D4C" w14:textId="5C404828" w:rsidR="00427C4A" w:rsidRDefault="00427C4A" w:rsidP="00EF6030">
      <w:pPr>
        <w:pStyle w:val="References"/>
      </w:pPr>
    </w:p>
    <w:p w14:paraId="291D126E" w14:textId="77777777" w:rsidR="00427C4A" w:rsidRPr="00C96492" w:rsidRDefault="00427C4A" w:rsidP="00EF6030">
      <w:pPr>
        <w:pStyle w:val="References"/>
      </w:pPr>
    </w:p>
    <w:p w14:paraId="49F11A92" w14:textId="77777777" w:rsidR="007E1289" w:rsidRPr="00C96492" w:rsidRDefault="007E1289" w:rsidP="007E1289">
      <w:pPr>
        <w:pStyle w:val="TitlePageOrigin"/>
      </w:pPr>
    </w:p>
    <w:p w14:paraId="7B0D5E5A" w14:textId="6D1140D5" w:rsidR="007E1289" w:rsidRPr="00C96492" w:rsidRDefault="007E1289" w:rsidP="007E1289">
      <w:pPr>
        <w:pStyle w:val="TitlePageOrigin"/>
        <w:rPr>
          <w:color w:val="auto"/>
        </w:rPr>
      </w:pPr>
    </w:p>
    <w:p w14:paraId="1DB2A0CE" w14:textId="65A6D705" w:rsidR="00427C4A" w:rsidRPr="00411830" w:rsidRDefault="00427C4A" w:rsidP="00427C4A">
      <w:pPr>
        <w:pStyle w:val="EnactingSection"/>
        <w:ind w:left="720" w:hanging="720"/>
      </w:pPr>
      <w:r w:rsidRPr="007D511A">
        <w:lastRenderedPageBreak/>
        <w:t>A</w:t>
      </w:r>
      <w:r>
        <w:t>N ACT</w:t>
      </w:r>
      <w:r w:rsidRPr="007D511A">
        <w:t xml:space="preserve"> to amend and reenact §31B-3-303 of the Code of West Virginia, 1931, as amended, relating to</w:t>
      </w:r>
      <w:r>
        <w:t xml:space="preserve"> the applicability of “corporate veil piercing” analysis to impose personal liability on a member or manager of a limited liability company; clarifying that members or managers of a limited liability company are not personally liable for fines, fees, or penalties individually assessed against another member or manager for unrelated acts; </w:t>
      </w:r>
      <w:r w:rsidRPr="007D511A">
        <w:t xml:space="preserve">establishing the intent and policy of the Legislature </w:t>
      </w:r>
      <w:r>
        <w:t xml:space="preserve">to modify the applicability of “corporate veil piercing” analysis adopted in </w:t>
      </w:r>
      <w:r w:rsidRPr="007D511A">
        <w:rPr>
          <w:i/>
          <w:iCs/>
        </w:rPr>
        <w:t xml:space="preserve">Joseph </w:t>
      </w:r>
      <w:proofErr w:type="spellStart"/>
      <w:r w:rsidRPr="007D511A">
        <w:rPr>
          <w:i/>
          <w:iCs/>
        </w:rPr>
        <w:t>Kubican</w:t>
      </w:r>
      <w:proofErr w:type="spellEnd"/>
      <w:r w:rsidRPr="007D511A">
        <w:rPr>
          <w:i/>
          <w:iCs/>
        </w:rPr>
        <w:t xml:space="preserve"> v. The Tavern, LL</w:t>
      </w:r>
      <w:r>
        <w:rPr>
          <w:i/>
          <w:iCs/>
        </w:rPr>
        <w:t>C</w:t>
      </w:r>
      <w:r w:rsidRPr="007D511A">
        <w:t>,</w:t>
      </w:r>
      <w:r>
        <w:rPr>
          <w:i/>
          <w:iCs/>
        </w:rPr>
        <w:t xml:space="preserve"> </w:t>
      </w:r>
      <w:r w:rsidRPr="007D511A">
        <w:t>232 W.Va. 268, 752 S.E.2d 299 (2013)</w:t>
      </w:r>
      <w:r>
        <w:t xml:space="preserve"> with respect to certain claims against a limited liability company; clarifying circumstances in which members of a limited liability company may be held liable in their capacity as members for debts, obligations, or liabilities of the company; establishing criteria required for court to apply “corporate veil piercing analysis” in certain claims asserted against a limited liability company; providing for liability of non-human members of a limited liability company under doctrine of joint enterprise liability; providing for liability of a member of a limited liability company as a tortfeasor; authorizing a creditor of a limited liability company to seek “</w:t>
      </w:r>
      <w:proofErr w:type="spellStart"/>
      <w:r>
        <w:t>clawback</w:t>
      </w:r>
      <w:proofErr w:type="spellEnd"/>
      <w:r>
        <w:t>” from a member of limited liability company under certain circumstances; and defining terms.</w:t>
      </w:r>
    </w:p>
    <w:p w14:paraId="7F94094D" w14:textId="54F4C7C0" w:rsidR="007E1289" w:rsidRPr="00C96492" w:rsidRDefault="00C32E63" w:rsidP="00C32E63">
      <w:pPr>
        <w:pStyle w:val="EnactingClause"/>
        <w:sectPr w:rsidR="007E1289" w:rsidRPr="00C96492" w:rsidSect="007E12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96492">
        <w:t xml:space="preserve"> </w:t>
      </w:r>
      <w:r w:rsidR="007E1289" w:rsidRPr="00C96492">
        <w:t>Be it enacted by the Legislature of West Virginia:</w:t>
      </w:r>
    </w:p>
    <w:p w14:paraId="4B6226EC" w14:textId="77777777" w:rsidR="003921BF" w:rsidRPr="00C96492" w:rsidRDefault="003921BF" w:rsidP="003921BF">
      <w:pPr>
        <w:pStyle w:val="ArticleHeading"/>
        <w:rPr>
          <w:color w:val="auto"/>
        </w:rPr>
        <w:sectPr w:rsidR="003921BF" w:rsidRPr="00C96492" w:rsidSect="003433B6">
          <w:footerReference w:type="default" r:id="rId12"/>
          <w:type w:val="continuous"/>
          <w:pgSz w:w="12240" w:h="15840" w:code="1"/>
          <w:pgMar w:top="1440" w:right="1440" w:bottom="1440" w:left="1440" w:header="720" w:footer="720" w:gutter="0"/>
          <w:lnNumType w:countBy="1" w:restart="newSection"/>
          <w:cols w:space="720"/>
          <w:docGrid w:linePitch="360"/>
        </w:sectPr>
      </w:pPr>
      <w:r w:rsidRPr="00C96492">
        <w:rPr>
          <w:color w:val="auto"/>
        </w:rPr>
        <w:t>ARTICLE 3. RELATIONS OF MEMBERS AND MANAGERS TO PERSONS DEALING WITH LIMITED LIABILITY COMPANY.</w:t>
      </w:r>
    </w:p>
    <w:p w14:paraId="0F7C10F7" w14:textId="77777777" w:rsidR="003921BF" w:rsidRPr="00C96492" w:rsidRDefault="003921BF" w:rsidP="003921BF">
      <w:pPr>
        <w:pStyle w:val="SectionHeading"/>
        <w:rPr>
          <w:color w:val="auto"/>
        </w:rPr>
      </w:pPr>
      <w:r w:rsidRPr="00C96492">
        <w:rPr>
          <w:color w:val="auto"/>
        </w:rPr>
        <w:t>§31B-3-303. Liability of members and managers.</w:t>
      </w:r>
    </w:p>
    <w:p w14:paraId="25A3966B" w14:textId="436F9B43" w:rsidR="003921BF" w:rsidRPr="00C96492" w:rsidRDefault="003921BF" w:rsidP="003921BF">
      <w:pPr>
        <w:pStyle w:val="SectionBody"/>
        <w:rPr>
          <w:color w:val="auto"/>
        </w:rPr>
      </w:pPr>
      <w:r w:rsidRPr="00C96492">
        <w:rPr>
          <w:color w:val="auto"/>
        </w:rPr>
        <w:t>(a) Except as otherwise provided in subsection (c) of this section,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w:t>
      </w:r>
      <w:r w:rsidR="00756C51" w:rsidRPr="00C96492">
        <w:rPr>
          <w:color w:val="auto"/>
        </w:rPr>
        <w:t xml:space="preserve"> </w:t>
      </w:r>
      <w:r w:rsidR="00756C51" w:rsidRPr="00C96492">
        <w:rPr>
          <w:rFonts w:cs="Arial"/>
        </w:rPr>
        <w:t xml:space="preserve">nor for fines, fees or penalties individually assessed against another member </w:t>
      </w:r>
      <w:r w:rsidR="00756C51" w:rsidRPr="00C96492">
        <w:rPr>
          <w:rFonts w:cs="Arial"/>
        </w:rPr>
        <w:lastRenderedPageBreak/>
        <w:t>or manager for acts unrelated to the business of the limited liability company</w:t>
      </w:r>
      <w:r w:rsidRPr="00C96492">
        <w:rPr>
          <w:color w:val="auto"/>
        </w:rPr>
        <w:t xml:space="preserve">. It is the intent and policy of the Legislature to modify the applicability of the “corporate veil piercing” analysis adopted in </w:t>
      </w:r>
      <w:r w:rsidRPr="00C96492">
        <w:rPr>
          <w:i/>
          <w:iCs/>
          <w:color w:val="auto"/>
        </w:rPr>
        <w:t xml:space="preserve">Joseph </w:t>
      </w:r>
      <w:proofErr w:type="spellStart"/>
      <w:r w:rsidRPr="00C96492">
        <w:rPr>
          <w:i/>
          <w:iCs/>
          <w:color w:val="auto"/>
        </w:rPr>
        <w:t>Kubican</w:t>
      </w:r>
      <w:proofErr w:type="spellEnd"/>
      <w:r w:rsidRPr="00C96492">
        <w:rPr>
          <w:i/>
          <w:iCs/>
          <w:color w:val="auto"/>
        </w:rPr>
        <w:t xml:space="preserve"> v. The Tavern, LLC</w:t>
      </w:r>
      <w:r w:rsidRPr="00C96492">
        <w:rPr>
          <w:color w:val="auto"/>
        </w:rPr>
        <w:t xml:space="preserve">, 232 W.Va. 268, 752 S.E.2d 299 (2013) with respect to any claim against a limited liability company arising after the effective date of the reenactment of this section during the regular session of the Legislature, 2022.  </w:t>
      </w:r>
    </w:p>
    <w:p w14:paraId="0FCE53AD" w14:textId="77777777" w:rsidR="003921BF" w:rsidRPr="00C96492" w:rsidRDefault="003921BF" w:rsidP="003921BF">
      <w:pPr>
        <w:pStyle w:val="SectionBody"/>
        <w:rPr>
          <w:color w:val="auto"/>
        </w:rPr>
      </w:pPr>
      <w:r w:rsidRPr="00C96492">
        <w:rPr>
          <w:color w:val="auto"/>
        </w:rPr>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796CCE4A" w14:textId="77777777" w:rsidR="003921BF" w:rsidRPr="00C96492" w:rsidRDefault="003921BF" w:rsidP="003921BF">
      <w:pPr>
        <w:pStyle w:val="SectionBody"/>
        <w:rPr>
          <w:color w:val="auto"/>
        </w:rPr>
      </w:pPr>
      <w:r w:rsidRPr="00C96492">
        <w:rPr>
          <w:color w:val="auto"/>
        </w:rPr>
        <w:t>(c) All or specified members of a limited liability company are liable in their capacity as members for all or specified debts, obligations, or liabilities of the company if:</w:t>
      </w:r>
    </w:p>
    <w:p w14:paraId="112AFAF4" w14:textId="77777777" w:rsidR="003921BF" w:rsidRPr="00C96492" w:rsidRDefault="003921BF" w:rsidP="003921BF">
      <w:pPr>
        <w:pStyle w:val="SectionBody"/>
        <w:rPr>
          <w:color w:val="auto"/>
        </w:rPr>
      </w:pPr>
      <w:r w:rsidRPr="00C96492">
        <w:rPr>
          <w:color w:val="auto"/>
        </w:rPr>
        <w:t>(1) A provision to that effect is contained in the articles of organization, and a member so liable has consented in writing to the adoption of the provision or to be bound by the provision;</w:t>
      </w:r>
    </w:p>
    <w:p w14:paraId="38EA15AB" w14:textId="77777777" w:rsidR="003921BF" w:rsidRPr="00C96492" w:rsidRDefault="003921BF" w:rsidP="003921BF">
      <w:pPr>
        <w:pStyle w:val="SectionBody"/>
        <w:rPr>
          <w:color w:val="auto"/>
        </w:rPr>
      </w:pPr>
      <w:r w:rsidRPr="00C96492">
        <w:rPr>
          <w:color w:val="auto"/>
        </w:rPr>
        <w:t>(2) The member against whom liability is asserted has personally guaranteed the liability or obligation of the limited liability company in writing;</w:t>
      </w:r>
    </w:p>
    <w:p w14:paraId="074E0F5A" w14:textId="77777777" w:rsidR="003921BF" w:rsidRPr="00C96492" w:rsidRDefault="003921BF" w:rsidP="003921BF">
      <w:pPr>
        <w:pStyle w:val="SectionBody"/>
        <w:rPr>
          <w:color w:val="auto"/>
        </w:rPr>
      </w:pPr>
      <w:r w:rsidRPr="00C96492">
        <w:rPr>
          <w:color w:val="auto"/>
        </w:rPr>
        <w:t>(3) There is any tax liability of the limited liability company, which the law of the state or of the United States imposes liability upon the member;</w:t>
      </w:r>
    </w:p>
    <w:p w14:paraId="58AF9515" w14:textId="30748581" w:rsidR="003921BF" w:rsidRPr="00C96492" w:rsidRDefault="003921BF" w:rsidP="003921BF">
      <w:pPr>
        <w:pStyle w:val="SectionBody"/>
        <w:rPr>
          <w:color w:val="auto"/>
        </w:rPr>
      </w:pPr>
      <w:r w:rsidRPr="00C96492">
        <w:rPr>
          <w:color w:val="auto"/>
        </w:rPr>
        <w:t>(4) The member commits actual or constructive fraud which causes injury to an individual or entity</w:t>
      </w:r>
      <w:r w:rsidR="00065D71">
        <w:rPr>
          <w:color w:val="auto"/>
        </w:rPr>
        <w:t>.</w:t>
      </w:r>
    </w:p>
    <w:p w14:paraId="415162FA" w14:textId="2A4810E3" w:rsidR="003921BF" w:rsidRPr="00C96492" w:rsidRDefault="003921BF" w:rsidP="003921BF">
      <w:pPr>
        <w:pStyle w:val="SectionBody"/>
        <w:rPr>
          <w:color w:val="auto"/>
        </w:rPr>
      </w:pPr>
      <w:r w:rsidRPr="00C96492">
        <w:rPr>
          <w:color w:val="auto"/>
        </w:rPr>
        <w:t xml:space="preserve">(d) The “corporate veil piercing” analysis adopted in </w:t>
      </w:r>
      <w:r w:rsidRPr="00C96492">
        <w:rPr>
          <w:i/>
          <w:iCs/>
          <w:color w:val="auto"/>
        </w:rPr>
        <w:t xml:space="preserve">Joseph </w:t>
      </w:r>
      <w:proofErr w:type="spellStart"/>
      <w:r w:rsidRPr="00C96492">
        <w:rPr>
          <w:i/>
          <w:iCs/>
          <w:color w:val="auto"/>
        </w:rPr>
        <w:t>Kubican</w:t>
      </w:r>
      <w:proofErr w:type="spellEnd"/>
      <w:r w:rsidRPr="00C96492">
        <w:rPr>
          <w:i/>
          <w:iCs/>
          <w:color w:val="auto"/>
        </w:rPr>
        <w:t xml:space="preserve"> v. The Tavern, LLC</w:t>
      </w:r>
      <w:r w:rsidRPr="00C96492">
        <w:rPr>
          <w:color w:val="auto"/>
        </w:rPr>
        <w:t xml:space="preserve">, 232 W.Va. 268, 752 S.E.2d 299 (2013) shall apply to a claim asserted against a limited liability company for the purpose of determining personal liability of all or specified members or managers only if (1) the company is not adequately capitalized for the reasonable risks of the corporate undertaking and (2) the company does not carry liability insurance coverage for the primary risks of the business, with minimum limits of </w:t>
      </w:r>
      <w:r w:rsidR="00907447" w:rsidRPr="00C96492">
        <w:rPr>
          <w:rFonts w:cs="Arial"/>
        </w:rPr>
        <w:t>$100,000 liability insurance</w:t>
      </w:r>
      <w:r w:rsidRPr="00C96492">
        <w:rPr>
          <w:color w:val="auto"/>
        </w:rPr>
        <w:t>, or such higher amount as may be specifically required by law.</w:t>
      </w:r>
    </w:p>
    <w:p w14:paraId="6A4EE556" w14:textId="77777777" w:rsidR="003921BF" w:rsidRPr="00C96492" w:rsidRDefault="003921BF" w:rsidP="003921BF">
      <w:pPr>
        <w:pStyle w:val="SectionBody"/>
        <w:rPr>
          <w:color w:val="auto"/>
        </w:rPr>
      </w:pPr>
      <w:r w:rsidRPr="00C96492">
        <w:rPr>
          <w:color w:val="auto"/>
        </w:rPr>
        <w:t xml:space="preserve">(e) </w:t>
      </w:r>
      <w:r w:rsidRPr="00C96492">
        <w:rPr>
          <w:i/>
          <w:color w:val="auto"/>
        </w:rPr>
        <w:t xml:space="preserve">Enterprise liability. </w:t>
      </w:r>
      <w:r w:rsidRPr="00C96492">
        <w:rPr>
          <w:color w:val="auto"/>
        </w:rPr>
        <w:t xml:space="preserve">— In circumstances where the members of a limited liability </w:t>
      </w:r>
      <w:r w:rsidRPr="00C96492">
        <w:rPr>
          <w:color w:val="auto"/>
        </w:rPr>
        <w:lastRenderedPageBreak/>
        <w:t>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“piercing of the veil”, but instead under the doctrine of joint enterprise liability.</w:t>
      </w:r>
    </w:p>
    <w:p w14:paraId="6FC1103F" w14:textId="77777777" w:rsidR="003921BF" w:rsidRPr="00C96492" w:rsidRDefault="003921BF" w:rsidP="003921BF">
      <w:pPr>
        <w:pStyle w:val="SectionBody"/>
        <w:rPr>
          <w:color w:val="auto"/>
        </w:rPr>
      </w:pPr>
      <w:r w:rsidRPr="00C96492">
        <w:rPr>
          <w:color w:val="auto"/>
        </w:rPr>
        <w:t xml:space="preserve">(f) </w:t>
      </w:r>
      <w:r w:rsidRPr="00C96492">
        <w:rPr>
          <w:i/>
          <w:color w:val="auto"/>
        </w:rPr>
        <w:t>Member as tortfeasor. —</w:t>
      </w:r>
      <w:r w:rsidRPr="00C96492">
        <w:rPr>
          <w:color w:val="auto"/>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“veil piercing”, but rather primary, as against any tortfeasor. </w:t>
      </w:r>
    </w:p>
    <w:p w14:paraId="5C993254" w14:textId="77777777" w:rsidR="003921BF" w:rsidRPr="00C96492" w:rsidRDefault="003921BF" w:rsidP="003921BF">
      <w:pPr>
        <w:pStyle w:val="SectionBody"/>
        <w:rPr>
          <w:color w:val="auto"/>
        </w:rPr>
      </w:pPr>
      <w:r w:rsidRPr="00C96492">
        <w:rPr>
          <w:color w:val="auto"/>
        </w:rPr>
        <w:t xml:space="preserve">(g) </w:t>
      </w:r>
      <w:proofErr w:type="spellStart"/>
      <w:r w:rsidRPr="00C96492">
        <w:rPr>
          <w:i/>
          <w:color w:val="auto"/>
        </w:rPr>
        <w:t>Clawback</w:t>
      </w:r>
      <w:proofErr w:type="spellEnd"/>
      <w:r w:rsidRPr="00C96492">
        <w:rPr>
          <w:i/>
          <w:color w:val="auto"/>
        </w:rPr>
        <w:t xml:space="preserve"> authority. —</w:t>
      </w:r>
      <w:r w:rsidRPr="00C96492">
        <w:rPr>
          <w:color w:val="auto"/>
        </w:rPr>
        <w:t xml:space="preserve"> If a member is proved to have committed any of the following acts, then a creditor of the limited liability company whose judgment the limited liability company cannot satisfy may seek </w:t>
      </w:r>
      <w:proofErr w:type="spellStart"/>
      <w:r w:rsidRPr="00C96492">
        <w:rPr>
          <w:color w:val="auto"/>
        </w:rPr>
        <w:t>clawback</w:t>
      </w:r>
      <w:proofErr w:type="spellEnd"/>
      <w:r w:rsidRPr="00C96492">
        <w:rPr>
          <w:color w:val="auto"/>
        </w:rPr>
        <w:t xml:space="preserve"> from the member under this subsection: </w:t>
      </w:r>
      <w:r w:rsidRPr="00C96492">
        <w:rPr>
          <w:i/>
          <w:color w:val="auto"/>
        </w:rPr>
        <w:t xml:space="preserve">Provided, </w:t>
      </w:r>
      <w:r w:rsidRPr="00C96492">
        <w:rPr>
          <w:color w:val="auto"/>
        </w:rPr>
        <w:t xml:space="preserve">That the limited liability company’s judgment creditor may proceed in the shoes of the limited liability company to </w:t>
      </w:r>
      <w:proofErr w:type="spellStart"/>
      <w:r w:rsidRPr="00C96492">
        <w:rPr>
          <w:color w:val="auto"/>
        </w:rPr>
        <w:t>clawback</w:t>
      </w:r>
      <w:proofErr w:type="spellEnd"/>
      <w:r w:rsidRPr="00C96492">
        <w:rPr>
          <w:color w:val="auto"/>
        </w:rPr>
        <w:t xml:space="preserve">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w:t>
      </w:r>
      <w:proofErr w:type="spellStart"/>
      <w:r w:rsidRPr="00C96492">
        <w:rPr>
          <w:color w:val="auto"/>
        </w:rPr>
        <w:t>clawback</w:t>
      </w:r>
      <w:proofErr w:type="spellEnd"/>
      <w:r w:rsidRPr="00C96492">
        <w:rPr>
          <w:color w:val="auto"/>
        </w:rPr>
        <w:t>, but not “veil piercing”, are:</w:t>
      </w:r>
    </w:p>
    <w:p w14:paraId="7C2C9AA7" w14:textId="77777777" w:rsidR="003921BF" w:rsidRPr="00C96492" w:rsidRDefault="003921BF" w:rsidP="003921BF">
      <w:pPr>
        <w:pStyle w:val="SectionBody"/>
        <w:rPr>
          <w:color w:val="auto"/>
        </w:rPr>
      </w:pPr>
      <w:r w:rsidRPr="00C96492">
        <w:rPr>
          <w:color w:val="auto"/>
        </w:rPr>
        <w:t>(1) Conflicted exchange;</w:t>
      </w:r>
    </w:p>
    <w:p w14:paraId="5635E636" w14:textId="77777777" w:rsidR="003921BF" w:rsidRPr="00C96492" w:rsidRDefault="003921BF" w:rsidP="003921BF">
      <w:pPr>
        <w:pStyle w:val="SectionBody"/>
        <w:rPr>
          <w:color w:val="auto"/>
        </w:rPr>
      </w:pPr>
      <w:r w:rsidRPr="00C96492">
        <w:rPr>
          <w:color w:val="auto"/>
        </w:rPr>
        <w:t>(2) Insolvency distribution; or</w:t>
      </w:r>
    </w:p>
    <w:p w14:paraId="6CCD9508" w14:textId="77777777" w:rsidR="003921BF" w:rsidRPr="00C96492" w:rsidRDefault="003921BF" w:rsidP="003921BF">
      <w:pPr>
        <w:pStyle w:val="SectionBody"/>
        <w:rPr>
          <w:color w:val="auto"/>
        </w:rPr>
      </w:pPr>
      <w:r w:rsidRPr="00C96492">
        <w:rPr>
          <w:color w:val="auto"/>
        </w:rPr>
        <w:t xml:space="preserve">(3) Siphoning of funds.  </w:t>
      </w:r>
    </w:p>
    <w:p w14:paraId="25DB57EF" w14:textId="77777777" w:rsidR="003921BF" w:rsidRPr="00C96492" w:rsidRDefault="003921BF" w:rsidP="003921BF">
      <w:pPr>
        <w:pStyle w:val="SectionBody"/>
        <w:rPr>
          <w:color w:val="auto"/>
        </w:rPr>
      </w:pPr>
      <w:r w:rsidRPr="00C96492">
        <w:rPr>
          <w:color w:val="auto"/>
        </w:rPr>
        <w:t xml:space="preserve">(h) </w:t>
      </w:r>
      <w:r w:rsidRPr="00C96492">
        <w:rPr>
          <w:i/>
          <w:color w:val="auto"/>
        </w:rPr>
        <w:t xml:space="preserve">Definitions. </w:t>
      </w:r>
      <w:r w:rsidRPr="00C96492">
        <w:rPr>
          <w:color w:val="auto"/>
        </w:rPr>
        <w:t>— As used in this section:</w:t>
      </w:r>
    </w:p>
    <w:p w14:paraId="6AC92165" w14:textId="77777777" w:rsidR="003921BF" w:rsidRPr="00C96492" w:rsidRDefault="003921BF" w:rsidP="003921BF">
      <w:pPr>
        <w:pStyle w:val="SectionBody"/>
        <w:rPr>
          <w:color w:val="auto"/>
        </w:rPr>
      </w:pPr>
      <w:r w:rsidRPr="00C96492">
        <w:rPr>
          <w:color w:val="auto"/>
        </w:rPr>
        <w:t xml:space="preserve">(1) “Conflicted exchange” means a transfer of money or other property from a limited liability company to a member of the limited liability company, or to any other organization in which the member has a material financial interest, in exchange for services, goods, or other tangible </w:t>
      </w:r>
      <w:r w:rsidRPr="00C96492">
        <w:rPr>
          <w:color w:val="auto"/>
        </w:rPr>
        <w:lastRenderedPageBreak/>
        <w:t>or intangible property of less than reasonable equivalent value.</w:t>
      </w:r>
    </w:p>
    <w:p w14:paraId="41131B06" w14:textId="77777777" w:rsidR="003921BF" w:rsidRPr="00C96492" w:rsidRDefault="003921BF" w:rsidP="003921BF">
      <w:pPr>
        <w:pStyle w:val="SectionBody"/>
        <w:rPr>
          <w:color w:val="auto"/>
        </w:rPr>
      </w:pPr>
      <w:r w:rsidRPr="00C96492">
        <w:rPr>
          <w:color w:val="auto"/>
        </w:rPr>
        <w:t>(2) “Insolvency distribution” means a transfer of money or other property from a limited liability company to a member of that limited liability company, or to any other organization in which the member has a material financial interest, in respect of the member’s ownership interest, that renders the limited liability company insolvent.</w:t>
      </w:r>
    </w:p>
    <w:p w14:paraId="15008E6C" w14:textId="77777777" w:rsidR="003921BF" w:rsidRPr="00C96492" w:rsidRDefault="003921BF" w:rsidP="003921BF">
      <w:pPr>
        <w:pStyle w:val="SectionBody"/>
        <w:rPr>
          <w:color w:val="auto"/>
        </w:rPr>
      </w:pPr>
      <w:r w:rsidRPr="00C96492">
        <w:rPr>
          <w:color w:val="auto"/>
        </w:rPr>
        <w:t>(3) “Insolvent”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51648586" w14:textId="77777777" w:rsidR="003921BF" w:rsidRPr="00C96492" w:rsidRDefault="003921BF" w:rsidP="003921BF">
      <w:pPr>
        <w:pStyle w:val="SectionBody"/>
        <w:rPr>
          <w:color w:val="auto"/>
        </w:rPr>
      </w:pPr>
      <w:r w:rsidRPr="00C96492">
        <w:rPr>
          <w:color w:val="auto"/>
        </w:rPr>
        <w:t>(4) “Siphoning of funds” means whether the manager or majority member has siphoned funds from the limited liability company in violation of the articles of organization, the operating agreement, or this article.</w:t>
      </w:r>
    </w:p>
    <w:p w14:paraId="186339AD" w14:textId="77777777" w:rsidR="003921BF" w:rsidRPr="00C96492" w:rsidRDefault="003921BF" w:rsidP="003921BF">
      <w:pPr>
        <w:sectPr w:rsidR="003921BF" w:rsidRPr="00C96492" w:rsidSect="00EA6332">
          <w:footerReference w:type="default" r:id="rId13"/>
          <w:type w:val="continuous"/>
          <w:pgSz w:w="12240" w:h="15840"/>
          <w:pgMar w:top="1440" w:right="1440" w:bottom="1440" w:left="1440" w:header="720" w:footer="720" w:gutter="0"/>
          <w:lnNumType w:countBy="1" w:restart="newSection"/>
          <w:cols w:space="720"/>
          <w:docGrid w:linePitch="360"/>
        </w:sectPr>
      </w:pPr>
    </w:p>
    <w:p w14:paraId="4D3DA5B6" w14:textId="77777777" w:rsidR="00E831B3" w:rsidRPr="00C96492" w:rsidRDefault="00E831B3" w:rsidP="003921BF">
      <w:pPr>
        <w:pStyle w:val="ArticleHeading"/>
        <w:ind w:left="0" w:firstLine="0"/>
      </w:pPr>
    </w:p>
    <w:sectPr w:rsidR="00E831B3" w:rsidRPr="00C96492" w:rsidSect="00EA6332">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ED06" w14:textId="77777777"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82589A" w14:textId="77777777" w:rsidR="007E1289" w:rsidRPr="007E1289" w:rsidRDefault="007E1289" w:rsidP="007E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275" w14:textId="4097C106"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187D9" w14:textId="77777777" w:rsidR="007E1289" w:rsidRPr="007E1289" w:rsidRDefault="007E1289" w:rsidP="007E12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0E80" w14:textId="77777777" w:rsidR="003921BF"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6210C82" w14:textId="77777777" w:rsidR="003921BF" w:rsidRDefault="003921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2835" w14:textId="77777777" w:rsidR="003921BF"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9493B0A" w14:textId="77777777" w:rsidR="003921BF" w:rsidRDefault="003921B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BBD1" w14:textId="77777777" w:rsidR="003433B6" w:rsidRDefault="003921BF" w:rsidP="003433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9E09FC" w14:textId="77777777" w:rsidR="003433B6" w:rsidRDefault="00065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EB7B" w14:textId="6D0E5D35" w:rsidR="007E1289" w:rsidRPr="007E1289" w:rsidRDefault="007E1289" w:rsidP="007E1289">
    <w:pPr>
      <w:pStyle w:val="Header"/>
    </w:pPr>
    <w:r>
      <w:t>CS for SB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5203" w14:textId="0BDECD0B" w:rsidR="007E1289" w:rsidRPr="007E1289" w:rsidRDefault="003921BF" w:rsidP="007E1289">
    <w:pPr>
      <w:pStyle w:val="Header"/>
    </w:pPr>
    <w:proofErr w:type="spellStart"/>
    <w:r>
      <w:t>E</w:t>
    </w:r>
    <w:r w:rsidR="00D3015C">
      <w:t>nr</w:t>
    </w:r>
    <w:proofErr w:type="spellEnd"/>
    <w:r>
      <w:t xml:space="preserve"> </w:t>
    </w:r>
    <w:r w:rsidR="007E1289">
      <w:t>CS for SB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65D71"/>
    <w:rsid w:val="00085D22"/>
    <w:rsid w:val="000C5C77"/>
    <w:rsid w:val="000F0B59"/>
    <w:rsid w:val="0010070F"/>
    <w:rsid w:val="0015112E"/>
    <w:rsid w:val="001552E7"/>
    <w:rsid w:val="001566B4"/>
    <w:rsid w:val="00175B38"/>
    <w:rsid w:val="001C279E"/>
    <w:rsid w:val="001D459E"/>
    <w:rsid w:val="00230763"/>
    <w:rsid w:val="0024075C"/>
    <w:rsid w:val="002648C1"/>
    <w:rsid w:val="002657A5"/>
    <w:rsid w:val="0027011C"/>
    <w:rsid w:val="00274200"/>
    <w:rsid w:val="00275740"/>
    <w:rsid w:val="002A0269"/>
    <w:rsid w:val="00301F44"/>
    <w:rsid w:val="00303684"/>
    <w:rsid w:val="003143F5"/>
    <w:rsid w:val="00314854"/>
    <w:rsid w:val="00354D4D"/>
    <w:rsid w:val="00365920"/>
    <w:rsid w:val="003921BF"/>
    <w:rsid w:val="003C3F38"/>
    <w:rsid w:val="003C51CD"/>
    <w:rsid w:val="00411667"/>
    <w:rsid w:val="004247A2"/>
    <w:rsid w:val="00427C4A"/>
    <w:rsid w:val="004B2795"/>
    <w:rsid w:val="004C13DD"/>
    <w:rsid w:val="004E3441"/>
    <w:rsid w:val="00571DC3"/>
    <w:rsid w:val="005A5366"/>
    <w:rsid w:val="00637E73"/>
    <w:rsid w:val="006565E8"/>
    <w:rsid w:val="006865E9"/>
    <w:rsid w:val="00691F3E"/>
    <w:rsid w:val="00694BFB"/>
    <w:rsid w:val="006A106B"/>
    <w:rsid w:val="006C523D"/>
    <w:rsid w:val="006D4036"/>
    <w:rsid w:val="006E5360"/>
    <w:rsid w:val="007208D6"/>
    <w:rsid w:val="00756C51"/>
    <w:rsid w:val="007E02CF"/>
    <w:rsid w:val="007E1289"/>
    <w:rsid w:val="007F1CF5"/>
    <w:rsid w:val="0081249D"/>
    <w:rsid w:val="00834EDE"/>
    <w:rsid w:val="008736AA"/>
    <w:rsid w:val="008D275D"/>
    <w:rsid w:val="00907447"/>
    <w:rsid w:val="00962CAB"/>
    <w:rsid w:val="00980327"/>
    <w:rsid w:val="009F1067"/>
    <w:rsid w:val="009F5DC1"/>
    <w:rsid w:val="00A31E01"/>
    <w:rsid w:val="00A35B03"/>
    <w:rsid w:val="00A527AD"/>
    <w:rsid w:val="00A718CF"/>
    <w:rsid w:val="00A72E7C"/>
    <w:rsid w:val="00A7540D"/>
    <w:rsid w:val="00AC3B58"/>
    <w:rsid w:val="00AE48A0"/>
    <w:rsid w:val="00AE61BE"/>
    <w:rsid w:val="00B16F25"/>
    <w:rsid w:val="00B24422"/>
    <w:rsid w:val="00B80C20"/>
    <w:rsid w:val="00B82A87"/>
    <w:rsid w:val="00B844FE"/>
    <w:rsid w:val="00BC562B"/>
    <w:rsid w:val="00C32E63"/>
    <w:rsid w:val="00C33014"/>
    <w:rsid w:val="00C33434"/>
    <w:rsid w:val="00C34869"/>
    <w:rsid w:val="00C42EB6"/>
    <w:rsid w:val="00C85096"/>
    <w:rsid w:val="00C96492"/>
    <w:rsid w:val="00CB20EF"/>
    <w:rsid w:val="00CD12CB"/>
    <w:rsid w:val="00CD36CF"/>
    <w:rsid w:val="00CD3F81"/>
    <w:rsid w:val="00CF1DCA"/>
    <w:rsid w:val="00D3015C"/>
    <w:rsid w:val="00D579FC"/>
    <w:rsid w:val="00DE526B"/>
    <w:rsid w:val="00DF163F"/>
    <w:rsid w:val="00DF199D"/>
    <w:rsid w:val="00DF4120"/>
    <w:rsid w:val="00E01542"/>
    <w:rsid w:val="00E365F1"/>
    <w:rsid w:val="00E62F48"/>
    <w:rsid w:val="00E831B3"/>
    <w:rsid w:val="00EB203E"/>
    <w:rsid w:val="00EE70CB"/>
    <w:rsid w:val="00EF6030"/>
    <w:rsid w:val="00F23775"/>
    <w:rsid w:val="00F41CA2"/>
    <w:rsid w:val="00F443C0"/>
    <w:rsid w:val="00F445D4"/>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0105D1"/>
  <w15:chartTrackingRefBased/>
  <w15:docId w15:val="{9AEA8C7C-1F9D-4D34-AE29-110BEE5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1289"/>
    <w:rPr>
      <w:rFonts w:eastAsia="Calibri"/>
      <w:b/>
      <w:caps/>
      <w:color w:val="000000"/>
      <w:sz w:val="24"/>
    </w:rPr>
  </w:style>
  <w:style w:type="character" w:customStyle="1" w:styleId="SectionBodyChar">
    <w:name w:val="Section Body Char"/>
    <w:link w:val="SectionBody"/>
    <w:rsid w:val="007E1289"/>
    <w:rPr>
      <w:rFonts w:eastAsia="Calibri"/>
      <w:color w:val="000000"/>
    </w:rPr>
  </w:style>
  <w:style w:type="character" w:customStyle="1" w:styleId="SectionHeadingChar">
    <w:name w:val="Section Heading Char"/>
    <w:link w:val="SectionHeading"/>
    <w:rsid w:val="007E1289"/>
    <w:rPr>
      <w:rFonts w:eastAsia="Calibri"/>
      <w:b/>
      <w:color w:val="000000"/>
    </w:rPr>
  </w:style>
  <w:style w:type="character" w:styleId="PageNumber">
    <w:name w:val="page number"/>
    <w:basedOn w:val="DefaultParagraphFont"/>
    <w:uiPriority w:val="99"/>
    <w:semiHidden/>
    <w:locked/>
    <w:rsid w:val="007E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73BF7" w:rsidRDefault="00E73BF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73BF7" w:rsidRDefault="00E73B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73BF7" w:rsidRDefault="00E73BF7">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F7"/>
    <w:rsid w:val="00E7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73B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1223</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17</cp:revision>
  <cp:lastPrinted>2022-02-03T14:34:00Z</cp:lastPrinted>
  <dcterms:created xsi:type="dcterms:W3CDTF">2022-02-03T14:35:00Z</dcterms:created>
  <dcterms:modified xsi:type="dcterms:W3CDTF">2022-03-15T18:59:00Z</dcterms:modified>
</cp:coreProperties>
</file>